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67BA" w14:textId="77777777" w:rsidR="00E302CC" w:rsidRPr="0031574E" w:rsidRDefault="00E302CC" w:rsidP="000F1198">
      <w:pPr>
        <w:pBdr>
          <w:top w:val="thinThickSmallGap" w:sz="24" w:space="5" w:color="auto"/>
          <w:left w:val="thinThickSmallGap" w:sz="24" w:space="4" w:color="auto"/>
          <w:bottom w:val="thickThinSmallGap" w:sz="24" w:space="6" w:color="auto"/>
          <w:right w:val="thickThinSmallGap" w:sz="24" w:space="4" w:color="auto"/>
        </w:pBdr>
        <w:rPr>
          <w:b/>
          <w:sz w:val="24"/>
          <w:szCs w:val="24"/>
        </w:rPr>
        <w:sectPr w:rsidR="00E302CC" w:rsidRPr="0031574E" w:rsidSect="000F1198">
          <w:headerReference w:type="default" r:id="rId8"/>
          <w:pgSz w:w="12240" w:h="15840"/>
          <w:pgMar w:top="820" w:right="1800" w:bottom="1440" w:left="1800" w:header="720" w:footer="720" w:gutter="0"/>
          <w:cols w:space="720"/>
          <w:docGrid w:linePitch="272"/>
        </w:sectPr>
      </w:pPr>
    </w:p>
    <w:p w14:paraId="2CAC08A7" w14:textId="77777777" w:rsidR="00AC6B67" w:rsidRDefault="00AC6B67" w:rsidP="00AC6B67">
      <w:pPr>
        <w:ind w:left="-180" w:right="-360"/>
        <w:contextualSpacing/>
        <w:rPr>
          <w:b/>
          <w:szCs w:val="24"/>
          <w:u w:val="single"/>
        </w:rPr>
      </w:pPr>
      <w:r w:rsidRPr="002C2258">
        <w:rPr>
          <w:b/>
          <w:szCs w:val="24"/>
          <w:u w:val="single"/>
        </w:rPr>
        <w:t>Summary:</w:t>
      </w:r>
    </w:p>
    <w:p w14:paraId="5ED4BEEA" w14:textId="45E89400" w:rsidR="00AC6B67" w:rsidRPr="00D879E6" w:rsidRDefault="006E365A" w:rsidP="00AC6B67">
      <w:pPr>
        <w:ind w:left="-180" w:right="-360"/>
        <w:contextualSpacing/>
        <w:rPr>
          <w:szCs w:val="24"/>
        </w:rPr>
      </w:pPr>
      <w:r w:rsidRPr="006E365A">
        <w:rPr>
          <w:szCs w:val="24"/>
        </w:rPr>
        <w:t>AB 1122 is a response to safety concerns expressed by the U.S. Coast Guard (USCG)</w:t>
      </w:r>
      <w:r>
        <w:rPr>
          <w:szCs w:val="24"/>
        </w:rPr>
        <w:t>, the</w:t>
      </w:r>
      <w:r w:rsidRPr="006E365A">
        <w:rPr>
          <w:szCs w:val="24"/>
        </w:rPr>
        <w:t xml:space="preserve"> maritime industry</w:t>
      </w:r>
      <w:r>
        <w:rPr>
          <w:szCs w:val="24"/>
        </w:rPr>
        <w:t xml:space="preserve"> and the union’s representing mariners</w:t>
      </w:r>
      <w:r w:rsidRPr="006E365A">
        <w:rPr>
          <w:szCs w:val="24"/>
        </w:rPr>
        <w:t xml:space="preserve"> regarding the California Air Resources Board’s (CARB) Commercial Harbor Craft (CHC) </w:t>
      </w:r>
      <w:r w:rsidR="00870572" w:rsidRPr="006E365A">
        <w:rPr>
          <w:szCs w:val="24"/>
        </w:rPr>
        <w:t>rule.</w:t>
      </w:r>
      <w:r w:rsidR="00AF2838">
        <w:rPr>
          <w:szCs w:val="24"/>
        </w:rPr>
        <w:t xml:space="preserve"> These changes will</w:t>
      </w:r>
      <w:r w:rsidR="00CC00C2">
        <w:rPr>
          <w:szCs w:val="24"/>
        </w:rPr>
        <w:t xml:space="preserve"> ensure </w:t>
      </w:r>
      <w:r w:rsidR="00AF2838">
        <w:rPr>
          <w:szCs w:val="24"/>
        </w:rPr>
        <w:t xml:space="preserve">that the </w:t>
      </w:r>
      <w:r w:rsidR="00CC00C2">
        <w:rPr>
          <w:szCs w:val="24"/>
        </w:rPr>
        <w:t>federal safety review process is followe</w:t>
      </w:r>
      <w:r w:rsidR="000A5210">
        <w:rPr>
          <w:szCs w:val="24"/>
        </w:rPr>
        <w:t>d so that vessel owners can obtain</w:t>
      </w:r>
      <w:r w:rsidR="00AF2838">
        <w:rPr>
          <w:szCs w:val="24"/>
        </w:rPr>
        <w:t xml:space="preserve"> </w:t>
      </w:r>
      <w:r w:rsidR="000A5210">
        <w:rPr>
          <w:szCs w:val="24"/>
        </w:rPr>
        <w:t>insurance for their crews</w:t>
      </w:r>
      <w:r w:rsidR="008D22DB">
        <w:rPr>
          <w:szCs w:val="24"/>
        </w:rPr>
        <w:t xml:space="preserve"> if they are injured</w:t>
      </w:r>
      <w:r w:rsidR="00EA4811">
        <w:rPr>
          <w:szCs w:val="24"/>
        </w:rPr>
        <w:t xml:space="preserve"> </w:t>
      </w:r>
      <w:r w:rsidR="00AF2838">
        <w:rPr>
          <w:szCs w:val="24"/>
        </w:rPr>
        <w:t>and</w:t>
      </w:r>
      <w:r w:rsidR="00EA4811">
        <w:rPr>
          <w:szCs w:val="24"/>
        </w:rPr>
        <w:t xml:space="preserve"> coverage for </w:t>
      </w:r>
      <w:r w:rsidR="00AF2838">
        <w:rPr>
          <w:szCs w:val="24"/>
        </w:rPr>
        <w:t>vessels, equipment</w:t>
      </w:r>
      <w:r w:rsidR="008D22DB">
        <w:rPr>
          <w:szCs w:val="24"/>
        </w:rPr>
        <w:t>,</w:t>
      </w:r>
      <w:r w:rsidR="000A5210">
        <w:rPr>
          <w:szCs w:val="24"/>
        </w:rPr>
        <w:t xml:space="preserve"> and </w:t>
      </w:r>
      <w:r w:rsidR="00870572">
        <w:rPr>
          <w:szCs w:val="24"/>
        </w:rPr>
        <w:t>sufficient resources for</w:t>
      </w:r>
      <w:r w:rsidR="00FA3BC1">
        <w:rPr>
          <w:szCs w:val="24"/>
        </w:rPr>
        <w:t xml:space="preserve"> clean-up should there be an environmental spill.  </w:t>
      </w:r>
    </w:p>
    <w:p w14:paraId="22AD0574" w14:textId="77777777" w:rsidR="00AC6B67" w:rsidRPr="002C2258" w:rsidRDefault="00AC6B67" w:rsidP="00AC6B67">
      <w:pPr>
        <w:ind w:left="-180" w:right="-360"/>
        <w:contextualSpacing/>
        <w:rPr>
          <w:b/>
          <w:szCs w:val="24"/>
          <w:u w:val="single"/>
        </w:rPr>
      </w:pPr>
    </w:p>
    <w:p w14:paraId="62B702F0" w14:textId="77777777" w:rsidR="00AC6B67" w:rsidRDefault="00AC6B67" w:rsidP="00AC6B67">
      <w:pPr>
        <w:ind w:left="-180" w:right="-360"/>
        <w:contextualSpacing/>
        <w:rPr>
          <w:szCs w:val="24"/>
        </w:rPr>
      </w:pPr>
      <w:r w:rsidRPr="002C2258">
        <w:rPr>
          <w:b/>
          <w:szCs w:val="24"/>
          <w:u w:val="single"/>
        </w:rPr>
        <w:t>Background:</w:t>
      </w:r>
      <w:r w:rsidRPr="002C2258">
        <w:rPr>
          <w:szCs w:val="24"/>
        </w:rPr>
        <w:t xml:space="preserve"> </w:t>
      </w:r>
    </w:p>
    <w:p w14:paraId="21F89C30" w14:textId="14E0567C" w:rsidR="00AC6B67" w:rsidRDefault="00AC6B67" w:rsidP="00AC6B67">
      <w:pPr>
        <w:ind w:left="-180" w:right="-360"/>
        <w:contextualSpacing/>
        <w:rPr>
          <w:szCs w:val="24"/>
        </w:rPr>
      </w:pPr>
      <w:r>
        <w:rPr>
          <w:szCs w:val="24"/>
        </w:rPr>
        <w:t xml:space="preserve">The </w:t>
      </w:r>
      <w:r w:rsidR="00870572">
        <w:rPr>
          <w:szCs w:val="24"/>
        </w:rPr>
        <w:t>USCG</w:t>
      </w:r>
      <w:r w:rsidR="009B5B22">
        <w:rPr>
          <w:szCs w:val="24"/>
        </w:rPr>
        <w:t xml:space="preserve"> </w:t>
      </w:r>
      <w:r>
        <w:rPr>
          <w:szCs w:val="24"/>
        </w:rPr>
        <w:t xml:space="preserve">is the </w:t>
      </w:r>
      <w:r w:rsidR="00CC051D">
        <w:rPr>
          <w:szCs w:val="24"/>
        </w:rPr>
        <w:t xml:space="preserve">foremost authority </w:t>
      </w:r>
      <w:r w:rsidR="00B71ABD">
        <w:rPr>
          <w:szCs w:val="24"/>
        </w:rPr>
        <w:t>and</w:t>
      </w:r>
      <w:r>
        <w:rPr>
          <w:szCs w:val="24"/>
        </w:rPr>
        <w:t xml:space="preserve"> agency responsible for maritime safety, security, and environmental stewardship. </w:t>
      </w:r>
    </w:p>
    <w:p w14:paraId="598C9F99" w14:textId="77777777" w:rsidR="00AC6B67" w:rsidRDefault="00AC6B67" w:rsidP="00AC6B67">
      <w:pPr>
        <w:ind w:left="-180" w:right="-360"/>
        <w:contextualSpacing/>
        <w:rPr>
          <w:szCs w:val="24"/>
        </w:rPr>
      </w:pPr>
    </w:p>
    <w:p w14:paraId="2396692A" w14:textId="04C58B05" w:rsidR="00CC051D" w:rsidRDefault="00AF2838" w:rsidP="00AC6B67">
      <w:pPr>
        <w:ind w:left="-180" w:right="-360"/>
        <w:contextualSpacing/>
        <w:rPr>
          <w:szCs w:val="24"/>
        </w:rPr>
      </w:pPr>
      <w:r>
        <w:rPr>
          <w:szCs w:val="24"/>
        </w:rPr>
        <w:t xml:space="preserve">In a 2021 letter to CARB, the </w:t>
      </w:r>
      <w:r w:rsidR="00AC6B67">
        <w:rPr>
          <w:szCs w:val="24"/>
        </w:rPr>
        <w:t xml:space="preserve">USCG </w:t>
      </w:r>
      <w:r>
        <w:rPr>
          <w:szCs w:val="24"/>
        </w:rPr>
        <w:t xml:space="preserve">voiced their concern about CARB’s </w:t>
      </w:r>
      <w:r w:rsidR="00EA4811">
        <w:rPr>
          <w:szCs w:val="24"/>
        </w:rPr>
        <w:t>recommended equipment</w:t>
      </w:r>
      <w:r w:rsidR="006E365A">
        <w:rPr>
          <w:szCs w:val="24"/>
        </w:rPr>
        <w:t xml:space="preserve"> and not allowing a safety method if there was a failure</w:t>
      </w:r>
      <w:r>
        <w:rPr>
          <w:szCs w:val="24"/>
        </w:rPr>
        <w:t xml:space="preserve">. </w:t>
      </w:r>
      <w:r w:rsidR="00154EFD">
        <w:rPr>
          <w:szCs w:val="24"/>
        </w:rPr>
        <w:t>This was</w:t>
      </w:r>
      <w:r w:rsidR="00B71ABD">
        <w:rPr>
          <w:szCs w:val="24"/>
        </w:rPr>
        <w:t xml:space="preserve"> </w:t>
      </w:r>
      <w:r w:rsidR="005D232C">
        <w:rPr>
          <w:szCs w:val="24"/>
        </w:rPr>
        <w:t xml:space="preserve">nearly </w:t>
      </w:r>
      <w:r w:rsidR="00154EFD">
        <w:rPr>
          <w:szCs w:val="24"/>
        </w:rPr>
        <w:t>two years</w:t>
      </w:r>
      <w:r w:rsidR="005D232C">
        <w:rPr>
          <w:szCs w:val="24"/>
        </w:rPr>
        <w:t xml:space="preserve"> before the CHC rule was finalized. CARB not only </w:t>
      </w:r>
      <w:r>
        <w:rPr>
          <w:szCs w:val="24"/>
        </w:rPr>
        <w:t>ignored</w:t>
      </w:r>
      <w:r w:rsidR="005D232C">
        <w:rPr>
          <w:szCs w:val="24"/>
        </w:rPr>
        <w:t xml:space="preserve"> those safety </w:t>
      </w:r>
      <w:r w:rsidR="00B71ABD">
        <w:rPr>
          <w:szCs w:val="24"/>
        </w:rPr>
        <w:t>recommendations</w:t>
      </w:r>
      <w:r w:rsidR="005D232C">
        <w:rPr>
          <w:szCs w:val="24"/>
        </w:rPr>
        <w:t xml:space="preserve">, </w:t>
      </w:r>
      <w:r w:rsidR="00154EFD">
        <w:rPr>
          <w:szCs w:val="24"/>
        </w:rPr>
        <w:t>but they also did</w:t>
      </w:r>
      <w:r w:rsidR="005D232C">
        <w:rPr>
          <w:szCs w:val="24"/>
        </w:rPr>
        <w:t xml:space="preserve"> not </w:t>
      </w:r>
      <w:r>
        <w:rPr>
          <w:szCs w:val="24"/>
        </w:rPr>
        <w:t>share with</w:t>
      </w:r>
      <w:r w:rsidR="005D232C">
        <w:rPr>
          <w:szCs w:val="24"/>
        </w:rPr>
        <w:t xml:space="preserve"> stakeholders the USCG</w:t>
      </w:r>
      <w:r>
        <w:rPr>
          <w:szCs w:val="24"/>
        </w:rPr>
        <w:t xml:space="preserve">’s </w:t>
      </w:r>
      <w:r w:rsidR="00EA4811">
        <w:rPr>
          <w:szCs w:val="24"/>
        </w:rPr>
        <w:t xml:space="preserve">concerns. </w:t>
      </w:r>
      <w:r w:rsidR="00411584">
        <w:rPr>
          <w:szCs w:val="24"/>
        </w:rPr>
        <w:t>Even as CARB advocated against</w:t>
      </w:r>
      <w:r w:rsidR="007B70DB">
        <w:rPr>
          <w:szCs w:val="24"/>
        </w:rPr>
        <w:t xml:space="preserve"> legislative</w:t>
      </w:r>
      <w:r w:rsidR="00411584">
        <w:rPr>
          <w:szCs w:val="24"/>
        </w:rPr>
        <w:t xml:space="preserve"> </w:t>
      </w:r>
      <w:r w:rsidR="007B70DB">
        <w:rPr>
          <w:szCs w:val="24"/>
        </w:rPr>
        <w:t xml:space="preserve">rule changes that would improve </w:t>
      </w:r>
      <w:r w:rsidR="00411584">
        <w:rPr>
          <w:szCs w:val="24"/>
        </w:rPr>
        <w:t>safety</w:t>
      </w:r>
      <w:r w:rsidR="00743992">
        <w:rPr>
          <w:szCs w:val="24"/>
        </w:rPr>
        <w:t>, they did not inform those legislators of the USCG</w:t>
      </w:r>
      <w:r w:rsidR="007B70DB">
        <w:rPr>
          <w:szCs w:val="24"/>
        </w:rPr>
        <w:t>’s serous concerns</w:t>
      </w:r>
      <w:r w:rsidR="00743992">
        <w:rPr>
          <w:szCs w:val="24"/>
        </w:rPr>
        <w:t xml:space="preserve">. </w:t>
      </w:r>
      <w:r w:rsidR="00A86BA9">
        <w:rPr>
          <w:szCs w:val="24"/>
        </w:rPr>
        <w:t xml:space="preserve">It was only through a Freedom of Information Act request </w:t>
      </w:r>
      <w:r w:rsidR="00EA4811">
        <w:rPr>
          <w:szCs w:val="24"/>
        </w:rPr>
        <w:t>t</w:t>
      </w:r>
      <w:r w:rsidR="005638FF">
        <w:rPr>
          <w:szCs w:val="24"/>
        </w:rPr>
        <w:t xml:space="preserve">hat stakeholders were made aware of the safety recommendations.   </w:t>
      </w:r>
    </w:p>
    <w:p w14:paraId="74F0E80B" w14:textId="77777777" w:rsidR="00AC6B67" w:rsidRPr="002C2258" w:rsidRDefault="00AC6B67" w:rsidP="00AC6B67">
      <w:pPr>
        <w:ind w:right="-360"/>
        <w:contextualSpacing/>
        <w:rPr>
          <w:szCs w:val="24"/>
        </w:rPr>
      </w:pPr>
    </w:p>
    <w:p w14:paraId="5902D53F" w14:textId="77777777" w:rsidR="00AC6B67" w:rsidRDefault="00AC6B67" w:rsidP="00AC6B67">
      <w:pPr>
        <w:ind w:left="-180" w:right="-360"/>
        <w:contextualSpacing/>
        <w:rPr>
          <w:szCs w:val="24"/>
        </w:rPr>
      </w:pPr>
      <w:r w:rsidRPr="002C2258">
        <w:rPr>
          <w:b/>
          <w:szCs w:val="24"/>
          <w:u w:val="single"/>
        </w:rPr>
        <w:t>Problem:</w:t>
      </w:r>
      <w:r w:rsidRPr="002C2258">
        <w:rPr>
          <w:szCs w:val="24"/>
        </w:rPr>
        <w:t xml:space="preserve"> </w:t>
      </w:r>
    </w:p>
    <w:p w14:paraId="36456B5C" w14:textId="435AD86F" w:rsidR="007B70DB" w:rsidRDefault="007B70DB" w:rsidP="007B70DB">
      <w:pPr>
        <w:ind w:left="-180" w:right="-360"/>
        <w:contextualSpacing/>
        <w:rPr>
          <w:szCs w:val="24"/>
        </w:rPr>
      </w:pPr>
      <w:r>
        <w:rPr>
          <w:szCs w:val="24"/>
        </w:rPr>
        <w:t xml:space="preserve">The USCG looks to </w:t>
      </w:r>
      <w:proofErr w:type="gramStart"/>
      <w:r>
        <w:rPr>
          <w:szCs w:val="24"/>
        </w:rPr>
        <w:t>authorized</w:t>
      </w:r>
      <w:proofErr w:type="gramEnd"/>
      <w:r>
        <w:rPr>
          <w:szCs w:val="24"/>
        </w:rPr>
        <w:t xml:space="preserve"> Vessel Classification Societies (class societies) to vet new equipment onboard tugboats. Without a comprehensive review, vessel owners cannot obtain insurance or operate their vessels and u</w:t>
      </w:r>
      <w:r w:rsidRPr="00CB021D">
        <w:rPr>
          <w:szCs w:val="24"/>
        </w:rPr>
        <w:t>napproved modifications can</w:t>
      </w:r>
      <w:r>
        <w:rPr>
          <w:szCs w:val="24"/>
        </w:rPr>
        <w:t xml:space="preserve"> endanger crews and result in environmental disasters, including oil spills. </w:t>
      </w:r>
    </w:p>
    <w:p w14:paraId="4886B8A9" w14:textId="77777777" w:rsidR="007B70DB" w:rsidRPr="00CB021D" w:rsidRDefault="007B70DB" w:rsidP="00870572">
      <w:pPr>
        <w:ind w:left="-180" w:right="-360"/>
        <w:contextualSpacing/>
        <w:rPr>
          <w:szCs w:val="24"/>
        </w:rPr>
      </w:pPr>
    </w:p>
    <w:p w14:paraId="5CBBB76A" w14:textId="1F053A9D" w:rsidR="00AC6B67" w:rsidRDefault="007B70DB" w:rsidP="00AC6B67">
      <w:pPr>
        <w:ind w:left="-180" w:right="-360"/>
        <w:contextualSpacing/>
        <w:rPr>
          <w:szCs w:val="24"/>
        </w:rPr>
      </w:pPr>
      <w:r w:rsidRPr="005840B1">
        <w:rPr>
          <w:szCs w:val="24"/>
        </w:rPr>
        <w:t>Vessels face dynamic conditions with wind, waves, and weather</w:t>
      </w:r>
      <w:r>
        <w:rPr>
          <w:szCs w:val="24"/>
        </w:rPr>
        <w:t xml:space="preserve"> but u</w:t>
      </w:r>
      <w:r w:rsidR="00AC6B67" w:rsidRPr="005840B1">
        <w:rPr>
          <w:szCs w:val="24"/>
        </w:rPr>
        <w:t>nlike</w:t>
      </w:r>
      <w:r w:rsidR="009B5B22">
        <w:rPr>
          <w:szCs w:val="24"/>
        </w:rPr>
        <w:t xml:space="preserve"> motor </w:t>
      </w:r>
      <w:r w:rsidR="00AC6B67" w:rsidRPr="005840B1">
        <w:rPr>
          <w:szCs w:val="24"/>
        </w:rPr>
        <w:t xml:space="preserve">vehicles, </w:t>
      </w:r>
      <w:r>
        <w:rPr>
          <w:szCs w:val="24"/>
        </w:rPr>
        <w:t xml:space="preserve">they </w:t>
      </w:r>
      <w:r w:rsidR="00AC6B67" w:rsidRPr="005840B1">
        <w:rPr>
          <w:szCs w:val="24"/>
        </w:rPr>
        <w:t xml:space="preserve">cannot pull over on </w:t>
      </w:r>
      <w:r w:rsidR="00674349" w:rsidRPr="005840B1">
        <w:rPr>
          <w:szCs w:val="24"/>
        </w:rPr>
        <w:t>the shoulder</w:t>
      </w:r>
      <w:r w:rsidR="00AC6B67" w:rsidRPr="005840B1">
        <w:rPr>
          <w:szCs w:val="24"/>
        </w:rPr>
        <w:t xml:space="preserve"> during an emergency</w:t>
      </w:r>
      <w:r>
        <w:rPr>
          <w:szCs w:val="24"/>
        </w:rPr>
        <w:t xml:space="preserve">. </w:t>
      </w:r>
      <w:r w:rsidR="00AC6B67">
        <w:rPr>
          <w:szCs w:val="24"/>
        </w:rPr>
        <w:t>Propulsion system</w:t>
      </w:r>
      <w:r>
        <w:rPr>
          <w:szCs w:val="24"/>
        </w:rPr>
        <w:t>s are both the accelerator and brake pedal. When they fail, it</w:t>
      </w:r>
      <w:r w:rsidR="00AC6B67">
        <w:rPr>
          <w:szCs w:val="24"/>
        </w:rPr>
        <w:t xml:space="preserve"> jeopardize</w:t>
      </w:r>
      <w:r>
        <w:rPr>
          <w:szCs w:val="24"/>
        </w:rPr>
        <w:t>s</w:t>
      </w:r>
      <w:r w:rsidR="00AC6B67">
        <w:rPr>
          <w:szCs w:val="24"/>
        </w:rPr>
        <w:t xml:space="preserve"> mariners and the environment.</w:t>
      </w:r>
    </w:p>
    <w:p w14:paraId="28783C12" w14:textId="77777777" w:rsidR="00AC6B67" w:rsidRDefault="00AC6B67" w:rsidP="00AC6B67">
      <w:pPr>
        <w:ind w:left="-180" w:right="-360"/>
        <w:contextualSpacing/>
        <w:rPr>
          <w:szCs w:val="24"/>
        </w:rPr>
      </w:pPr>
    </w:p>
    <w:p w14:paraId="27A53ADC" w14:textId="77777777" w:rsidR="00AC6B67" w:rsidRDefault="00AC6B67" w:rsidP="00AC6B67">
      <w:pPr>
        <w:ind w:left="-180" w:right="-360"/>
        <w:contextualSpacing/>
        <w:rPr>
          <w:szCs w:val="24"/>
        </w:rPr>
      </w:pPr>
      <w:r w:rsidRPr="005840B1">
        <w:rPr>
          <w:szCs w:val="24"/>
        </w:rPr>
        <w:t xml:space="preserve">Barges carry over </w:t>
      </w:r>
      <w:r>
        <w:rPr>
          <w:szCs w:val="24"/>
        </w:rPr>
        <w:t>239 million tons of cargo in</w:t>
      </w:r>
      <w:r w:rsidRPr="005840B1">
        <w:rPr>
          <w:szCs w:val="24"/>
        </w:rPr>
        <w:t xml:space="preserve"> California annually, some of which, if spilled, could impact water </w:t>
      </w:r>
      <w:r>
        <w:rPr>
          <w:szCs w:val="24"/>
        </w:rPr>
        <w:t>and</w:t>
      </w:r>
      <w:r w:rsidRPr="005840B1">
        <w:rPr>
          <w:szCs w:val="24"/>
        </w:rPr>
        <w:t xml:space="preserve"> air quality, or other natural resources. Many neighborhoods located near ports are designated environmental justice areas. Ensuring vessel machinery is compliant with </w:t>
      </w:r>
      <w:r>
        <w:rPr>
          <w:szCs w:val="24"/>
        </w:rPr>
        <w:t>c</w:t>
      </w:r>
      <w:r w:rsidRPr="005840B1">
        <w:rPr>
          <w:szCs w:val="24"/>
        </w:rPr>
        <w:t xml:space="preserve">lass </w:t>
      </w:r>
      <w:r>
        <w:rPr>
          <w:szCs w:val="24"/>
        </w:rPr>
        <w:t>s</w:t>
      </w:r>
      <w:r w:rsidRPr="005840B1">
        <w:rPr>
          <w:szCs w:val="24"/>
        </w:rPr>
        <w:t xml:space="preserve">ociety standards </w:t>
      </w:r>
      <w:r w:rsidRPr="005840B1">
        <w:rPr>
          <w:szCs w:val="24"/>
        </w:rPr>
        <w:t>supports the state’s mission to protect these disadvantaged communities.</w:t>
      </w:r>
    </w:p>
    <w:p w14:paraId="08CFC5DE" w14:textId="77777777" w:rsidR="00AC6B67" w:rsidRDefault="00AC6B67" w:rsidP="00AC6B67">
      <w:pPr>
        <w:ind w:left="-180" w:right="-360"/>
        <w:contextualSpacing/>
        <w:rPr>
          <w:szCs w:val="24"/>
        </w:rPr>
      </w:pPr>
    </w:p>
    <w:p w14:paraId="25E6951D" w14:textId="73E8EF20" w:rsidR="00AC6B67" w:rsidRDefault="00AC6B67" w:rsidP="00AC6B67">
      <w:pPr>
        <w:ind w:left="-180" w:right="-360"/>
        <w:contextualSpacing/>
        <w:rPr>
          <w:szCs w:val="24"/>
        </w:rPr>
      </w:pPr>
      <w:r w:rsidRPr="00F41212">
        <w:rPr>
          <w:b/>
          <w:bCs/>
          <w:i/>
          <w:iCs/>
          <w:szCs w:val="24"/>
        </w:rPr>
        <w:t>Vessel safety is also port safety</w:t>
      </w:r>
      <w:r w:rsidRPr="00F41212">
        <w:rPr>
          <w:i/>
          <w:iCs/>
          <w:szCs w:val="24"/>
        </w:rPr>
        <w:t>.</w:t>
      </w:r>
      <w:r w:rsidRPr="007574F8">
        <w:rPr>
          <w:szCs w:val="24"/>
        </w:rPr>
        <w:t xml:space="preserve"> Ship </w:t>
      </w:r>
      <w:proofErr w:type="gramStart"/>
      <w:r w:rsidRPr="007574F8">
        <w:rPr>
          <w:szCs w:val="24"/>
        </w:rPr>
        <w:t>assist</w:t>
      </w:r>
      <w:proofErr w:type="gramEnd"/>
      <w:r w:rsidRPr="007574F8">
        <w:rPr>
          <w:szCs w:val="24"/>
        </w:rPr>
        <w:t xml:space="preserve"> tugs </w:t>
      </w:r>
      <w:r>
        <w:rPr>
          <w:szCs w:val="24"/>
        </w:rPr>
        <w:t>carefully</w:t>
      </w:r>
      <w:r w:rsidRPr="007574F8" w:rsidDel="00D66CDF">
        <w:rPr>
          <w:szCs w:val="24"/>
        </w:rPr>
        <w:t xml:space="preserve"> </w:t>
      </w:r>
      <w:r w:rsidRPr="007574F8">
        <w:rPr>
          <w:szCs w:val="24"/>
        </w:rPr>
        <w:t xml:space="preserve">maneuver large ships that call to our major ports, preventing accidental release of fuel oil or cargo into the environment. </w:t>
      </w:r>
      <w:r>
        <w:rPr>
          <w:szCs w:val="24"/>
        </w:rPr>
        <w:t>Unexpected loss of power jeopardizes the environment, port infrastructure</w:t>
      </w:r>
      <w:r w:rsidR="00DE56C3">
        <w:rPr>
          <w:szCs w:val="24"/>
        </w:rPr>
        <w:t>,</w:t>
      </w:r>
      <w:r>
        <w:rPr>
          <w:szCs w:val="24"/>
        </w:rPr>
        <w:t xml:space="preserve"> and crew safety. Loss of power during storms is deadly. Requiring removal of vessels</w:t>
      </w:r>
      <w:r w:rsidRPr="007574F8">
        <w:rPr>
          <w:szCs w:val="24"/>
        </w:rPr>
        <w:t xml:space="preserve"> from service because of technical noncompliance </w:t>
      </w:r>
      <w:r>
        <w:rPr>
          <w:szCs w:val="24"/>
        </w:rPr>
        <w:t xml:space="preserve">will </w:t>
      </w:r>
      <w:r w:rsidRPr="007574F8">
        <w:rPr>
          <w:szCs w:val="24"/>
        </w:rPr>
        <w:t>clog the ports, slow the movement of goods, and lead to idling, which could increase nearshore pollution.</w:t>
      </w:r>
    </w:p>
    <w:p w14:paraId="19F34D9B" w14:textId="77777777" w:rsidR="00AC6B67" w:rsidRPr="002C2258" w:rsidRDefault="00AC6B67" w:rsidP="00AC6B67">
      <w:pPr>
        <w:ind w:left="-180" w:right="-360"/>
        <w:contextualSpacing/>
        <w:rPr>
          <w:szCs w:val="24"/>
        </w:rPr>
      </w:pPr>
    </w:p>
    <w:p w14:paraId="25F50582" w14:textId="77777777" w:rsidR="00AC6B67" w:rsidRDefault="00AC6B67" w:rsidP="00AC6B67">
      <w:pPr>
        <w:ind w:left="-180" w:right="-360"/>
        <w:contextualSpacing/>
        <w:rPr>
          <w:szCs w:val="24"/>
        </w:rPr>
      </w:pPr>
      <w:r w:rsidRPr="002C2258">
        <w:rPr>
          <w:b/>
          <w:szCs w:val="24"/>
          <w:u w:val="single"/>
        </w:rPr>
        <w:t>Solution:</w:t>
      </w:r>
      <w:r w:rsidRPr="002C2258">
        <w:rPr>
          <w:szCs w:val="24"/>
        </w:rPr>
        <w:t xml:space="preserve"> </w:t>
      </w:r>
    </w:p>
    <w:p w14:paraId="43E109AB" w14:textId="11DDF218" w:rsidR="00AC6B67" w:rsidRDefault="00AC6B67" w:rsidP="00AC6B67">
      <w:pPr>
        <w:ind w:left="-180" w:right="-360"/>
        <w:contextualSpacing/>
        <w:rPr>
          <w:szCs w:val="24"/>
        </w:rPr>
      </w:pPr>
      <w:r>
        <w:rPr>
          <w:szCs w:val="24"/>
        </w:rPr>
        <w:t>AB 1</w:t>
      </w:r>
      <w:r w:rsidR="00706CD4">
        <w:rPr>
          <w:szCs w:val="24"/>
        </w:rPr>
        <w:t>122</w:t>
      </w:r>
      <w:r>
        <w:rPr>
          <w:szCs w:val="24"/>
        </w:rPr>
        <w:t xml:space="preserve"> is narrowly focused to </w:t>
      </w:r>
      <w:r w:rsidR="00706CD4">
        <w:rPr>
          <w:szCs w:val="24"/>
        </w:rPr>
        <w:t>address</w:t>
      </w:r>
      <w:r>
        <w:rPr>
          <w:szCs w:val="24"/>
        </w:rPr>
        <w:t xml:space="preserve"> mariner safety. Specifically, it requires that class societies and the manufacturer of the propulsion system</w:t>
      </w:r>
      <w:r w:rsidR="007B70DB">
        <w:rPr>
          <w:szCs w:val="24"/>
        </w:rPr>
        <w:t xml:space="preserve"> to</w:t>
      </w:r>
      <w:r>
        <w:rPr>
          <w:szCs w:val="24"/>
        </w:rPr>
        <w:t xml:space="preserve"> approve the use of any equipment installed on a commercial harbor craft, which is typical for any new vessel technology. This safeguard will </w:t>
      </w:r>
      <w:r w:rsidR="00DE56C3">
        <w:rPr>
          <w:szCs w:val="24"/>
        </w:rPr>
        <w:t xml:space="preserve">guarantee </w:t>
      </w:r>
      <w:r>
        <w:rPr>
          <w:szCs w:val="24"/>
        </w:rPr>
        <w:t xml:space="preserve">that </w:t>
      </w:r>
      <w:r w:rsidR="00AF05D4">
        <w:rPr>
          <w:szCs w:val="24"/>
        </w:rPr>
        <w:t>any change</w:t>
      </w:r>
      <w:r>
        <w:rPr>
          <w:szCs w:val="24"/>
        </w:rPr>
        <w:t xml:space="preserve"> to a propulsion system </w:t>
      </w:r>
      <w:r w:rsidR="00AF05D4">
        <w:rPr>
          <w:szCs w:val="24"/>
        </w:rPr>
        <w:t xml:space="preserve">is </w:t>
      </w:r>
      <w:r>
        <w:rPr>
          <w:szCs w:val="24"/>
        </w:rPr>
        <w:t xml:space="preserve">compatible </w:t>
      </w:r>
      <w:r w:rsidR="00AF05D4">
        <w:rPr>
          <w:szCs w:val="24"/>
        </w:rPr>
        <w:t xml:space="preserve">with the existing unit </w:t>
      </w:r>
      <w:r>
        <w:rPr>
          <w:szCs w:val="24"/>
        </w:rPr>
        <w:t>and do</w:t>
      </w:r>
      <w:r w:rsidR="00AF05D4">
        <w:rPr>
          <w:szCs w:val="24"/>
        </w:rPr>
        <w:t>es</w:t>
      </w:r>
      <w:r>
        <w:rPr>
          <w:szCs w:val="24"/>
        </w:rPr>
        <w:t xml:space="preserve"> not impact federally required safety and performance standards.</w:t>
      </w:r>
    </w:p>
    <w:p w14:paraId="2B3CBCDD" w14:textId="77777777" w:rsidR="00AC6B67" w:rsidRDefault="00AC6B67" w:rsidP="00AC6B67">
      <w:pPr>
        <w:ind w:left="-180" w:right="-360"/>
        <w:contextualSpacing/>
        <w:rPr>
          <w:szCs w:val="24"/>
        </w:rPr>
      </w:pPr>
    </w:p>
    <w:p w14:paraId="542638A9" w14:textId="58A19B60" w:rsidR="00AC6B67" w:rsidRDefault="00AC6B67" w:rsidP="00AC6B67">
      <w:pPr>
        <w:ind w:left="-180" w:right="-360"/>
        <w:contextualSpacing/>
        <w:rPr>
          <w:szCs w:val="24"/>
        </w:rPr>
      </w:pPr>
      <w:r>
        <w:rPr>
          <w:szCs w:val="24"/>
        </w:rPr>
        <w:t xml:space="preserve">Additionally, the bill seeks to ensure that any add-on device that </w:t>
      </w:r>
      <w:r w:rsidR="00AF05D4">
        <w:rPr>
          <w:szCs w:val="24"/>
        </w:rPr>
        <w:t xml:space="preserve">connects with </w:t>
      </w:r>
      <w:r>
        <w:rPr>
          <w:szCs w:val="24"/>
        </w:rPr>
        <w:t xml:space="preserve">a vessel’s propulsion system contains an automated override or bypass. This </w:t>
      </w:r>
      <w:r w:rsidR="00DE56C3">
        <w:rPr>
          <w:szCs w:val="24"/>
        </w:rPr>
        <w:t xml:space="preserve">device </w:t>
      </w:r>
      <w:r>
        <w:rPr>
          <w:szCs w:val="24"/>
        </w:rPr>
        <w:t>will allow the vessel to remain under</w:t>
      </w:r>
      <w:r w:rsidR="009B5B22">
        <w:rPr>
          <w:szCs w:val="24"/>
        </w:rPr>
        <w:t xml:space="preserve"> </w:t>
      </w:r>
      <w:r>
        <w:rPr>
          <w:szCs w:val="24"/>
        </w:rPr>
        <w:t xml:space="preserve">power and maneuverable in the event of equipment malfunction </w:t>
      </w:r>
      <w:r w:rsidR="00AF05D4">
        <w:rPr>
          <w:szCs w:val="24"/>
        </w:rPr>
        <w:t>-</w:t>
      </w:r>
      <w:r>
        <w:rPr>
          <w:szCs w:val="24"/>
        </w:rPr>
        <w:t xml:space="preserve"> maintain</w:t>
      </w:r>
      <w:r w:rsidR="00AF05D4">
        <w:rPr>
          <w:szCs w:val="24"/>
        </w:rPr>
        <w:t>ing</w:t>
      </w:r>
      <w:r>
        <w:rPr>
          <w:szCs w:val="24"/>
        </w:rPr>
        <w:t xml:space="preserve"> crew safety</w:t>
      </w:r>
      <w:r w:rsidR="009B5B22">
        <w:rPr>
          <w:szCs w:val="24"/>
        </w:rPr>
        <w:t>,</w:t>
      </w:r>
      <w:r>
        <w:rPr>
          <w:szCs w:val="24"/>
        </w:rPr>
        <w:t xml:space="preserve"> environmental protection, and community wellbeing by ensuring vessels can perform their functions until reaching a safe location. Importantly, this bill does not prevent the state from requiring </w:t>
      </w:r>
      <w:r w:rsidR="00AF05D4">
        <w:rPr>
          <w:szCs w:val="24"/>
        </w:rPr>
        <w:t>operators to install new technology</w:t>
      </w:r>
      <w:r>
        <w:rPr>
          <w:szCs w:val="24"/>
        </w:rPr>
        <w:t xml:space="preserve">, </w:t>
      </w:r>
      <w:r w:rsidR="00AF05D4">
        <w:rPr>
          <w:szCs w:val="24"/>
        </w:rPr>
        <w:t xml:space="preserve">it </w:t>
      </w:r>
      <w:r>
        <w:rPr>
          <w:szCs w:val="24"/>
        </w:rPr>
        <w:t>only</w:t>
      </w:r>
      <w:r w:rsidR="00AF05D4">
        <w:rPr>
          <w:szCs w:val="24"/>
        </w:rPr>
        <w:t xml:space="preserve"> ensures that federal</w:t>
      </w:r>
      <w:r w:rsidR="00DE56C3">
        <w:rPr>
          <w:szCs w:val="24"/>
        </w:rPr>
        <w:t xml:space="preserve"> safety </w:t>
      </w:r>
      <w:r w:rsidR="00AF05D4">
        <w:rPr>
          <w:szCs w:val="24"/>
        </w:rPr>
        <w:t xml:space="preserve">procedures are followed, </w:t>
      </w:r>
      <w:r>
        <w:rPr>
          <w:szCs w:val="24"/>
        </w:rPr>
        <w:t>vessel</w:t>
      </w:r>
      <w:r w:rsidR="00AF05D4">
        <w:rPr>
          <w:szCs w:val="24"/>
        </w:rPr>
        <w:t>s will</w:t>
      </w:r>
      <w:r>
        <w:rPr>
          <w:szCs w:val="24"/>
        </w:rPr>
        <w:t xml:space="preserve"> continue to operate if the </w:t>
      </w:r>
      <w:r w:rsidR="00870572">
        <w:rPr>
          <w:szCs w:val="24"/>
        </w:rPr>
        <w:t>supplemental device</w:t>
      </w:r>
      <w:r>
        <w:rPr>
          <w:szCs w:val="24"/>
        </w:rPr>
        <w:t xml:space="preserve"> fails</w:t>
      </w:r>
      <w:r w:rsidR="00AF05D4">
        <w:rPr>
          <w:szCs w:val="24"/>
        </w:rPr>
        <w:t>, and</w:t>
      </w:r>
      <w:r w:rsidR="00E3087C">
        <w:rPr>
          <w:szCs w:val="24"/>
        </w:rPr>
        <w:t xml:space="preserve"> vessel owner to report </w:t>
      </w:r>
      <w:r w:rsidR="00870572">
        <w:rPr>
          <w:szCs w:val="24"/>
        </w:rPr>
        <w:t>any time</w:t>
      </w:r>
      <w:r w:rsidR="00F90886">
        <w:rPr>
          <w:szCs w:val="24"/>
        </w:rPr>
        <w:t xml:space="preserve"> that </w:t>
      </w:r>
      <w:r w:rsidR="00AF05D4">
        <w:rPr>
          <w:szCs w:val="24"/>
        </w:rPr>
        <w:t xml:space="preserve">the </w:t>
      </w:r>
      <w:r w:rsidR="00F90886">
        <w:rPr>
          <w:szCs w:val="24"/>
        </w:rPr>
        <w:t xml:space="preserve">system is bypassed. </w:t>
      </w:r>
    </w:p>
    <w:p w14:paraId="59588515" w14:textId="77777777" w:rsidR="00AC6B67" w:rsidRPr="002C2258" w:rsidRDefault="00AC6B67" w:rsidP="00AC6B67">
      <w:pPr>
        <w:ind w:left="-180" w:right="-360"/>
        <w:contextualSpacing/>
        <w:rPr>
          <w:szCs w:val="24"/>
        </w:rPr>
      </w:pPr>
    </w:p>
    <w:p w14:paraId="33F660BA" w14:textId="77777777" w:rsidR="00AC6B67" w:rsidRDefault="00AC6B67" w:rsidP="00AC6B67">
      <w:pPr>
        <w:pStyle w:val="ListParagraph"/>
        <w:spacing w:line="240" w:lineRule="exact"/>
        <w:ind w:left="-180"/>
        <w:contextualSpacing/>
        <w:rPr>
          <w:b/>
          <w:sz w:val="24"/>
          <w:szCs w:val="24"/>
          <w:u w:val="single"/>
        </w:rPr>
      </w:pPr>
      <w:r w:rsidRPr="002C2258">
        <w:rPr>
          <w:b/>
          <w:sz w:val="24"/>
          <w:szCs w:val="24"/>
          <w:u w:val="single"/>
        </w:rPr>
        <w:t>Support:</w:t>
      </w:r>
    </w:p>
    <w:p w14:paraId="5022D7BD" w14:textId="77777777" w:rsidR="00AC6B67" w:rsidRDefault="00AC6B67" w:rsidP="00AC6B67">
      <w:pPr>
        <w:ind w:left="-180"/>
        <w:contextualSpacing/>
        <w:rPr>
          <w:szCs w:val="24"/>
        </w:rPr>
      </w:pPr>
      <w:r>
        <w:rPr>
          <w:szCs w:val="24"/>
        </w:rPr>
        <w:t>Masters, Mates and Pilots (AFL-CIO)</w:t>
      </w:r>
    </w:p>
    <w:p w14:paraId="19C4EBFB" w14:textId="4DF56898" w:rsidR="00F90886" w:rsidRDefault="00F90886" w:rsidP="00AC6B67">
      <w:pPr>
        <w:ind w:left="-180"/>
        <w:contextualSpacing/>
        <w:rPr>
          <w:szCs w:val="24"/>
        </w:rPr>
      </w:pPr>
      <w:r>
        <w:rPr>
          <w:szCs w:val="24"/>
        </w:rPr>
        <w:t>Inland Boaters Union (ILWU)</w:t>
      </w:r>
    </w:p>
    <w:p w14:paraId="3DD8A50D" w14:textId="16FEB7C1" w:rsidR="00F90886" w:rsidRDefault="00F90886" w:rsidP="00AC6B67">
      <w:pPr>
        <w:ind w:left="-180"/>
        <w:contextualSpacing/>
        <w:rPr>
          <w:szCs w:val="24"/>
        </w:rPr>
      </w:pPr>
      <w:r>
        <w:rPr>
          <w:szCs w:val="24"/>
        </w:rPr>
        <w:t xml:space="preserve">Marine </w:t>
      </w:r>
      <w:r w:rsidR="00275F96">
        <w:rPr>
          <w:szCs w:val="24"/>
        </w:rPr>
        <w:t xml:space="preserve">Engineers </w:t>
      </w:r>
      <w:r w:rsidR="00E77BC6">
        <w:rPr>
          <w:szCs w:val="24"/>
        </w:rPr>
        <w:t>Beneficial</w:t>
      </w:r>
      <w:r>
        <w:rPr>
          <w:szCs w:val="24"/>
        </w:rPr>
        <w:t xml:space="preserve"> Association </w:t>
      </w:r>
      <w:r w:rsidR="00E77BC6">
        <w:rPr>
          <w:szCs w:val="24"/>
        </w:rPr>
        <w:t>(AFL-CIO)</w:t>
      </w:r>
    </w:p>
    <w:p w14:paraId="37D3EACE" w14:textId="5F3131CF" w:rsidR="00B62C59" w:rsidRDefault="00A17117" w:rsidP="00AC6B67">
      <w:pPr>
        <w:ind w:left="-180"/>
        <w:contextualSpacing/>
        <w:rPr>
          <w:szCs w:val="24"/>
        </w:rPr>
      </w:pPr>
      <w:r>
        <w:rPr>
          <w:szCs w:val="24"/>
        </w:rPr>
        <w:t>American Waterways Operators</w:t>
      </w:r>
    </w:p>
    <w:p w14:paraId="11BF3962" w14:textId="77777777" w:rsidR="001519BA" w:rsidRDefault="001519BA" w:rsidP="00491BF3">
      <w:pPr>
        <w:pStyle w:val="Heading2"/>
        <w:pBdr>
          <w:bottom w:val="single" w:sz="6" w:space="2" w:color="auto"/>
        </w:pBdr>
        <w:rPr>
          <w:rFonts w:ascii="Times New Roman" w:hAnsi="Times New Roman"/>
          <w:b/>
          <w:sz w:val="24"/>
          <w:szCs w:val="24"/>
        </w:rPr>
      </w:pPr>
    </w:p>
    <w:p w14:paraId="70B5C2ED" w14:textId="14837229" w:rsidR="00491BF3" w:rsidRPr="0031574E" w:rsidRDefault="00DC660C" w:rsidP="00491BF3">
      <w:pPr>
        <w:pStyle w:val="Heading2"/>
        <w:pBdr>
          <w:bottom w:val="single" w:sz="6" w:space="2" w:color="auto"/>
        </w:pBdr>
        <w:rPr>
          <w:rFonts w:ascii="Times New Roman" w:hAnsi="Times New Roman"/>
          <w:b/>
          <w:sz w:val="24"/>
          <w:szCs w:val="24"/>
        </w:rPr>
      </w:pPr>
      <w:r w:rsidRPr="0031574E">
        <w:rPr>
          <w:rFonts w:ascii="Times New Roman" w:hAnsi="Times New Roman"/>
          <w:b/>
          <w:sz w:val="24"/>
          <w:szCs w:val="24"/>
        </w:rPr>
        <w:t>STAFF CONTACT</w:t>
      </w:r>
    </w:p>
    <w:p w14:paraId="0803FA08" w14:textId="0E96C502" w:rsidR="00163090" w:rsidRDefault="00AC6B67" w:rsidP="00E10C08">
      <w:pPr>
        <w:rPr>
          <w:sz w:val="24"/>
          <w:szCs w:val="24"/>
        </w:rPr>
      </w:pPr>
      <w:r>
        <w:rPr>
          <w:sz w:val="24"/>
          <w:szCs w:val="24"/>
        </w:rPr>
        <w:t>Adam Capper</w:t>
      </w:r>
      <w:r w:rsidR="00A72C3D" w:rsidRPr="0031574E">
        <w:rPr>
          <w:sz w:val="24"/>
          <w:szCs w:val="24"/>
        </w:rPr>
        <w:t xml:space="preserve">, </w:t>
      </w:r>
      <w:hyperlink r:id="rId9" w:history="1">
        <w:r w:rsidRPr="00A21E09">
          <w:rPr>
            <w:rStyle w:val="Hyperlink"/>
            <w:sz w:val="24"/>
            <w:szCs w:val="24"/>
          </w:rPr>
          <w:t>adam.capper@asm.ca.gov</w:t>
        </w:r>
      </w:hyperlink>
    </w:p>
    <w:p w14:paraId="6169007B" w14:textId="4E2B6023" w:rsidR="0031574E" w:rsidRPr="0031574E" w:rsidRDefault="0031574E" w:rsidP="00E10C08">
      <w:pPr>
        <w:rPr>
          <w:sz w:val="24"/>
          <w:szCs w:val="24"/>
        </w:rPr>
      </w:pPr>
      <w:r>
        <w:rPr>
          <w:sz w:val="24"/>
          <w:szCs w:val="24"/>
        </w:rPr>
        <w:t>(916) 319-2035</w:t>
      </w:r>
    </w:p>
    <w:sectPr w:rsidR="0031574E" w:rsidRPr="0031574E" w:rsidSect="000F1198">
      <w:footerReference w:type="default" r:id="rId10"/>
      <w:type w:val="continuous"/>
      <w:pgSz w:w="12240" w:h="15840"/>
      <w:pgMar w:top="820" w:right="1152" w:bottom="1152" w:left="1152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BB54" w14:textId="77777777" w:rsidR="009358F5" w:rsidRDefault="009358F5">
      <w:r>
        <w:separator/>
      </w:r>
    </w:p>
  </w:endnote>
  <w:endnote w:type="continuationSeparator" w:id="0">
    <w:p w14:paraId="6A5FA802" w14:textId="77777777" w:rsidR="009358F5" w:rsidRDefault="0093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3F22" w14:textId="77777777" w:rsidR="0045543F" w:rsidRDefault="0045543F">
    <w:pPr>
      <w:pStyle w:val="Footer"/>
      <w:pBdr>
        <w:top w:val="sing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70CC" w14:textId="77777777" w:rsidR="009358F5" w:rsidRDefault="009358F5">
      <w:r>
        <w:separator/>
      </w:r>
    </w:p>
  </w:footnote>
  <w:footnote w:type="continuationSeparator" w:id="0">
    <w:p w14:paraId="651372D7" w14:textId="77777777" w:rsidR="009358F5" w:rsidRDefault="0093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D0C" w14:textId="77923F4D" w:rsidR="000F1198" w:rsidRDefault="00F46AC8" w:rsidP="000F1198">
    <w:pPr>
      <w:pStyle w:val="Header"/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DC57B2" wp14:editId="0E1D2328">
              <wp:simplePos x="0" y="0"/>
              <wp:positionH relativeFrom="column">
                <wp:posOffset>1329690</wp:posOffset>
              </wp:positionH>
              <wp:positionV relativeFrom="paragraph">
                <wp:posOffset>232410</wp:posOffset>
              </wp:positionV>
              <wp:extent cx="4642485" cy="791210"/>
              <wp:effectExtent l="15240" t="22860" r="1905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2485" cy="791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D8F94" w14:textId="77777777" w:rsidR="000F1198" w:rsidRDefault="00DC660C" w:rsidP="0031574E">
                          <w:pPr>
                            <w:jc w:val="center"/>
                            <w:rPr>
                              <w:rFonts w:ascii="Garamond" w:hAnsi="Garamond"/>
                              <w:b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aps/>
                              <w:sz w:val="28"/>
                              <w:szCs w:val="28"/>
                            </w:rPr>
                            <w:t>FAct Sheet</w:t>
                          </w:r>
                        </w:p>
                        <w:p w14:paraId="12667560" w14:textId="1102EF6F" w:rsidR="000F1198" w:rsidRDefault="005851A6" w:rsidP="0031574E">
                          <w:pPr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AB</w:t>
                          </w:r>
                          <w:r w:rsidR="004A558B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 xml:space="preserve"> 1122</w:t>
                          </w:r>
                          <w:r w:rsidR="0031574E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(Bains</w:t>
                          </w:r>
                          <w:r w:rsidR="00DC660C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38A83431" w14:textId="6E8725DA" w:rsidR="005021C6" w:rsidRPr="0031574E" w:rsidRDefault="007900EB" w:rsidP="0031574E">
                          <w:pPr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Mariner Safety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C57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7pt;margin-top:18.3pt;width:365.55pt;height:6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" strokeweight="2.25pt">
              <v:textbox>
                <w:txbxContent>
                  <w:p w14:paraId="50CD8F94" w14:textId="77777777" w:rsidR="000F1198" w:rsidRDefault="00DC660C" w:rsidP="0031574E">
                    <w:pPr>
                      <w:jc w:val="center"/>
                      <w:rPr>
                        <w:rFonts w:ascii="Garamond" w:hAnsi="Garamond"/>
                        <w:b/>
                        <w:caps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caps/>
                        <w:sz w:val="28"/>
                        <w:szCs w:val="28"/>
                      </w:rPr>
                      <w:t>FAct Sheet</w:t>
                    </w:r>
                  </w:p>
                  <w:p w14:paraId="12667560" w14:textId="1102EF6F" w:rsidR="000F1198" w:rsidRDefault="005851A6" w:rsidP="0031574E">
                    <w:pPr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  <w:szCs w:val="28"/>
                      </w:rPr>
                      <w:t>AB</w:t>
                    </w:r>
                    <w:r w:rsidR="004A558B">
                      <w:rPr>
                        <w:rFonts w:ascii="Garamond" w:hAnsi="Garamond"/>
                        <w:sz w:val="28"/>
                        <w:szCs w:val="28"/>
                      </w:rPr>
                      <w:t xml:space="preserve"> 1122</w:t>
                    </w:r>
                    <w:r w:rsidR="0031574E">
                      <w:rPr>
                        <w:rFonts w:ascii="Garamond" w:hAnsi="Garamond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8"/>
                        <w:szCs w:val="28"/>
                      </w:rPr>
                      <w:t>(Bains</w:t>
                    </w:r>
                    <w:r w:rsidR="00DC660C">
                      <w:rPr>
                        <w:rFonts w:ascii="Garamond" w:hAnsi="Garamond"/>
                        <w:sz w:val="28"/>
                        <w:szCs w:val="28"/>
                      </w:rPr>
                      <w:t>)</w:t>
                    </w:r>
                  </w:p>
                  <w:p w14:paraId="38A83431" w14:textId="6E8725DA" w:rsidR="005021C6" w:rsidRPr="0031574E" w:rsidRDefault="007900EB" w:rsidP="0031574E">
                    <w:pPr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  <w:szCs w:val="28"/>
                      </w:rPr>
                      <w:t>Mariner Safety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color w:val="FF0000"/>
      </w:rPr>
      <w:drawing>
        <wp:inline distT="0" distB="0" distL="0" distR="0" wp14:anchorId="0EDA60B1" wp14:editId="6ABC31C0">
          <wp:extent cx="952500" cy="1270000"/>
          <wp:effectExtent l="0" t="0" r="0" b="0"/>
          <wp:docPr id="1" name="Picture 1" descr="Assembl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embl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E2E43" w14:textId="77777777" w:rsidR="000F1198" w:rsidRDefault="000F1198" w:rsidP="000F1198">
    <w:pPr>
      <w:pStyle w:val="Header"/>
    </w:pPr>
  </w:p>
  <w:p w14:paraId="0B517F35" w14:textId="77777777" w:rsidR="000F1198" w:rsidRDefault="000F1198" w:rsidP="000F1198">
    <w:pPr>
      <w:pStyle w:val="Header"/>
    </w:pPr>
  </w:p>
  <w:p w14:paraId="5089D6F0" w14:textId="77777777" w:rsidR="000F1198" w:rsidRDefault="000F1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4714F"/>
    <w:multiLevelType w:val="hybridMultilevel"/>
    <w:tmpl w:val="8916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A1992"/>
    <w:multiLevelType w:val="hybridMultilevel"/>
    <w:tmpl w:val="A09E3F5E"/>
    <w:lvl w:ilvl="0" w:tplc="C01C6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66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8A4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44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AD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56D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88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28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3AC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3358E"/>
    <w:multiLevelType w:val="hybridMultilevel"/>
    <w:tmpl w:val="6946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03410">
    <w:abstractNumId w:val="1"/>
  </w:num>
  <w:num w:numId="2" w16cid:durableId="2074809070">
    <w:abstractNumId w:val="2"/>
  </w:num>
  <w:num w:numId="3" w16cid:durableId="56249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CC"/>
    <w:rsid w:val="000162CF"/>
    <w:rsid w:val="00077A97"/>
    <w:rsid w:val="000A5210"/>
    <w:rsid w:val="000F1198"/>
    <w:rsid w:val="0011172B"/>
    <w:rsid w:val="001519BA"/>
    <w:rsid w:val="00154EFD"/>
    <w:rsid w:val="001550B8"/>
    <w:rsid w:val="00163090"/>
    <w:rsid w:val="0016718F"/>
    <w:rsid w:val="0020371C"/>
    <w:rsid w:val="00232A5C"/>
    <w:rsid w:val="002423DD"/>
    <w:rsid w:val="0024636F"/>
    <w:rsid w:val="002509C7"/>
    <w:rsid w:val="00275F96"/>
    <w:rsid w:val="0028372E"/>
    <w:rsid w:val="002C2595"/>
    <w:rsid w:val="002D29CD"/>
    <w:rsid w:val="002E0D6E"/>
    <w:rsid w:val="002E4115"/>
    <w:rsid w:val="002F2D58"/>
    <w:rsid w:val="0031574E"/>
    <w:rsid w:val="00334AB2"/>
    <w:rsid w:val="00345ECD"/>
    <w:rsid w:val="003B760F"/>
    <w:rsid w:val="00411584"/>
    <w:rsid w:val="0045543F"/>
    <w:rsid w:val="00491BF3"/>
    <w:rsid w:val="004A558B"/>
    <w:rsid w:val="004B70EA"/>
    <w:rsid w:val="004C58F7"/>
    <w:rsid w:val="004D33D4"/>
    <w:rsid w:val="004F5E92"/>
    <w:rsid w:val="005021C6"/>
    <w:rsid w:val="00523B0F"/>
    <w:rsid w:val="005342B0"/>
    <w:rsid w:val="00556D0C"/>
    <w:rsid w:val="00560437"/>
    <w:rsid w:val="005638FF"/>
    <w:rsid w:val="005851A6"/>
    <w:rsid w:val="005924FF"/>
    <w:rsid w:val="005951F9"/>
    <w:rsid w:val="005A026F"/>
    <w:rsid w:val="005A7CE5"/>
    <w:rsid w:val="005C418E"/>
    <w:rsid w:val="005D232C"/>
    <w:rsid w:val="005F074F"/>
    <w:rsid w:val="006110C4"/>
    <w:rsid w:val="00616F7D"/>
    <w:rsid w:val="00633A06"/>
    <w:rsid w:val="0063788A"/>
    <w:rsid w:val="00663B23"/>
    <w:rsid w:val="00674349"/>
    <w:rsid w:val="006905A7"/>
    <w:rsid w:val="006E365A"/>
    <w:rsid w:val="00706CD4"/>
    <w:rsid w:val="00743992"/>
    <w:rsid w:val="0075146B"/>
    <w:rsid w:val="007750F5"/>
    <w:rsid w:val="00777729"/>
    <w:rsid w:val="007851B8"/>
    <w:rsid w:val="00787B55"/>
    <w:rsid w:val="007900EB"/>
    <w:rsid w:val="007B70DB"/>
    <w:rsid w:val="007C30CC"/>
    <w:rsid w:val="007E18B4"/>
    <w:rsid w:val="007E5F94"/>
    <w:rsid w:val="00802681"/>
    <w:rsid w:val="0082085D"/>
    <w:rsid w:val="00823816"/>
    <w:rsid w:val="008256B5"/>
    <w:rsid w:val="008332D2"/>
    <w:rsid w:val="00840E25"/>
    <w:rsid w:val="00870572"/>
    <w:rsid w:val="00886396"/>
    <w:rsid w:val="008C7889"/>
    <w:rsid w:val="008D22DB"/>
    <w:rsid w:val="008D59F1"/>
    <w:rsid w:val="00912E2A"/>
    <w:rsid w:val="00914419"/>
    <w:rsid w:val="00924923"/>
    <w:rsid w:val="009358F5"/>
    <w:rsid w:val="00937BC9"/>
    <w:rsid w:val="00945A51"/>
    <w:rsid w:val="00960B20"/>
    <w:rsid w:val="009847A6"/>
    <w:rsid w:val="00986F45"/>
    <w:rsid w:val="009B2EEF"/>
    <w:rsid w:val="009B5B22"/>
    <w:rsid w:val="009B6644"/>
    <w:rsid w:val="009F3CD3"/>
    <w:rsid w:val="00A02412"/>
    <w:rsid w:val="00A17117"/>
    <w:rsid w:val="00A23EC6"/>
    <w:rsid w:val="00A25928"/>
    <w:rsid w:val="00A72C3D"/>
    <w:rsid w:val="00A86BA9"/>
    <w:rsid w:val="00AC6B67"/>
    <w:rsid w:val="00AF05D4"/>
    <w:rsid w:val="00AF2838"/>
    <w:rsid w:val="00AF5923"/>
    <w:rsid w:val="00B62C59"/>
    <w:rsid w:val="00B70A18"/>
    <w:rsid w:val="00B71ABD"/>
    <w:rsid w:val="00B763F2"/>
    <w:rsid w:val="00B91033"/>
    <w:rsid w:val="00BB1BE5"/>
    <w:rsid w:val="00BB6620"/>
    <w:rsid w:val="00BC2DB5"/>
    <w:rsid w:val="00BD2257"/>
    <w:rsid w:val="00C24AA8"/>
    <w:rsid w:val="00C265DF"/>
    <w:rsid w:val="00C452E0"/>
    <w:rsid w:val="00C4616E"/>
    <w:rsid w:val="00C64B03"/>
    <w:rsid w:val="00C65840"/>
    <w:rsid w:val="00C95DCF"/>
    <w:rsid w:val="00CC00C2"/>
    <w:rsid w:val="00CC051D"/>
    <w:rsid w:val="00CC5AFA"/>
    <w:rsid w:val="00CD4F13"/>
    <w:rsid w:val="00D722FC"/>
    <w:rsid w:val="00D83428"/>
    <w:rsid w:val="00DC660C"/>
    <w:rsid w:val="00DE46DD"/>
    <w:rsid w:val="00DE56C3"/>
    <w:rsid w:val="00E10C08"/>
    <w:rsid w:val="00E1793F"/>
    <w:rsid w:val="00E302CC"/>
    <w:rsid w:val="00E3087C"/>
    <w:rsid w:val="00E43CC0"/>
    <w:rsid w:val="00E503D5"/>
    <w:rsid w:val="00E77BC6"/>
    <w:rsid w:val="00EA052D"/>
    <w:rsid w:val="00EA4811"/>
    <w:rsid w:val="00ED10FA"/>
    <w:rsid w:val="00EE0B5D"/>
    <w:rsid w:val="00EF36AA"/>
    <w:rsid w:val="00EF563D"/>
    <w:rsid w:val="00F22425"/>
    <w:rsid w:val="00F36FBE"/>
    <w:rsid w:val="00F46AC8"/>
    <w:rsid w:val="00F55023"/>
    <w:rsid w:val="00F6429B"/>
    <w:rsid w:val="00F80342"/>
    <w:rsid w:val="00F90886"/>
    <w:rsid w:val="00FA3BC1"/>
    <w:rsid w:val="00FB5980"/>
    <w:rsid w:val="00FC6C30"/>
    <w:rsid w:val="00FC6FB7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09ADD"/>
  <w15:chartTrackingRefBased/>
  <w15:docId w15:val="{2755E819-D122-429E-838D-30FE83B3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0F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E302CC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E302CC"/>
    <w:pPr>
      <w:keepNext/>
      <w:pBdr>
        <w:bottom w:val="single" w:sz="6" w:space="1" w:color="auto"/>
      </w:pBdr>
      <w:jc w:val="center"/>
      <w:outlineLvl w:val="2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302CC"/>
    <w:rPr>
      <w:rFonts w:ascii="Arial" w:eastAsia="Times New Roman" w:hAnsi="Arial"/>
      <w:sz w:val="36"/>
    </w:rPr>
  </w:style>
  <w:style w:type="character" w:customStyle="1" w:styleId="Heading3Char">
    <w:name w:val="Heading 3 Char"/>
    <w:link w:val="Heading3"/>
    <w:rsid w:val="00E302CC"/>
    <w:rPr>
      <w:rFonts w:ascii="Arial" w:eastAsia="Times New Roman" w:hAnsi="Arial"/>
      <w:b/>
      <w:sz w:val="36"/>
    </w:rPr>
  </w:style>
  <w:style w:type="paragraph" w:styleId="Footer">
    <w:name w:val="footer"/>
    <w:basedOn w:val="Normal"/>
    <w:link w:val="FooterChar"/>
    <w:uiPriority w:val="99"/>
    <w:rsid w:val="00E302C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302CC"/>
    <w:rPr>
      <w:rFonts w:ascii="Times New Roman" w:eastAsia="Times New Roman" w:hAnsi="Times New Roman"/>
    </w:rPr>
  </w:style>
  <w:style w:type="character" w:styleId="PageNumber">
    <w:name w:val="page number"/>
    <w:rsid w:val="00E302CC"/>
  </w:style>
  <w:style w:type="paragraph" w:styleId="BodyText3">
    <w:name w:val="Body Text 3"/>
    <w:basedOn w:val="Normal"/>
    <w:link w:val="BodyText3Char"/>
    <w:rsid w:val="00E302CC"/>
    <w:rPr>
      <w:rFonts w:ascii="Arial" w:hAnsi="Arial"/>
      <w:snapToGrid w:val="0"/>
      <w:sz w:val="22"/>
    </w:rPr>
  </w:style>
  <w:style w:type="character" w:customStyle="1" w:styleId="BodyText3Char">
    <w:name w:val="Body Text 3 Char"/>
    <w:link w:val="BodyText3"/>
    <w:rsid w:val="00E302CC"/>
    <w:rPr>
      <w:rFonts w:ascii="Arial" w:eastAsia="Times New Roman" w:hAnsi="Arial"/>
      <w:snapToGrid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543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BF3"/>
    <w:pPr>
      <w:ind w:left="720"/>
    </w:pPr>
  </w:style>
  <w:style w:type="character" w:styleId="Hyperlink">
    <w:name w:val="Hyperlink"/>
    <w:uiPriority w:val="99"/>
    <w:unhideWhenUsed/>
    <w:rsid w:val="00491B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66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6620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090"/>
  </w:style>
  <w:style w:type="character" w:customStyle="1" w:styleId="FootnoteTextChar">
    <w:name w:val="Footnote Text Char"/>
    <w:link w:val="FootnoteText"/>
    <w:uiPriority w:val="99"/>
    <w:semiHidden/>
    <w:rsid w:val="00163090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16309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63090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FC6F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6B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4811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F2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838"/>
  </w:style>
  <w:style w:type="character" w:customStyle="1" w:styleId="CommentTextChar">
    <w:name w:val="Comment Text Char"/>
    <w:basedOn w:val="DefaultParagraphFont"/>
    <w:link w:val="CommentText"/>
    <w:uiPriority w:val="99"/>
    <w:rsid w:val="00AF283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83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am.capper@asm.c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55E2-4320-4584-A8EE-5ED2BDEE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Burrows, Emma</dc:creator>
  <cp:lastModifiedBy>Greg Hurner</cp:lastModifiedBy>
  <cp:revision>2</cp:revision>
  <cp:lastPrinted>2023-03-23T00:36:00Z</cp:lastPrinted>
  <dcterms:created xsi:type="dcterms:W3CDTF">2023-08-31T21:28:00Z</dcterms:created>
  <dcterms:modified xsi:type="dcterms:W3CDTF">2023-08-31T21:28:00Z</dcterms:modified>
</cp:coreProperties>
</file>